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14B" w14:textId="2EDF8959" w:rsidR="003050F0" w:rsidRPr="000878EB" w:rsidRDefault="00365261" w:rsidP="000878EB">
      <w:pPr>
        <w:pStyle w:val="Title"/>
        <w:rPr>
          <w:sz w:val="32"/>
          <w:szCs w:val="32"/>
        </w:rPr>
      </w:pPr>
      <w:r>
        <w:rPr>
          <w:noProof/>
          <w:lang w:val="en-US" w:eastAsia="zh-CN"/>
        </w:rPr>
        <w:drawing>
          <wp:inline distT="0" distB="0" distL="0" distR="0" wp14:anchorId="5562316D" wp14:editId="5562316E">
            <wp:extent cx="1942155" cy="3684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tag2.jpg"/>
                    <pic:cNvPicPr/>
                  </pic:nvPicPr>
                  <pic:blipFill>
                    <a:blip r:embed="rId12">
                      <a:extLst>
                        <a:ext uri="{28A0092B-C50C-407E-A947-70E740481C1C}">
                          <a14:useLocalDpi xmlns:a14="http://schemas.microsoft.com/office/drawing/2010/main" val="0"/>
                        </a:ext>
                      </a:extLst>
                    </a:blip>
                    <a:stretch>
                      <a:fillRect/>
                    </a:stretch>
                  </pic:blipFill>
                  <pic:spPr>
                    <a:xfrm>
                      <a:off x="0" y="0"/>
                      <a:ext cx="1954290" cy="370734"/>
                    </a:xfrm>
                    <a:prstGeom prst="rect">
                      <a:avLst/>
                    </a:prstGeom>
                  </pic:spPr>
                </pic:pic>
              </a:graphicData>
            </a:graphic>
          </wp:inline>
        </w:drawing>
      </w:r>
      <w:r>
        <w:t xml:space="preserve">  </w:t>
      </w:r>
      <w:r>
        <w:tab/>
        <w:t xml:space="preserve">       </w:t>
      </w:r>
      <w:r>
        <w:rPr>
          <w:rFonts w:ascii="Palatino Linotype" w:hAnsi="Palatino Linotype"/>
          <w:sz w:val="32"/>
          <w:szCs w:val="32"/>
        </w:rPr>
        <w:t xml:space="preserve">MRI </w:t>
      </w:r>
      <w:r w:rsidR="00725697">
        <w:rPr>
          <w:rFonts w:ascii="Palatino Linotype" w:hAnsi="Palatino Linotype"/>
          <w:sz w:val="32"/>
          <w:szCs w:val="32"/>
        </w:rPr>
        <w:t xml:space="preserve">- </w:t>
      </w:r>
      <w:r>
        <w:rPr>
          <w:rFonts w:ascii="Palatino Linotype" w:hAnsi="Palatino Linotype"/>
          <w:sz w:val="32"/>
          <w:szCs w:val="32"/>
        </w:rPr>
        <w:t>INSTRUCCIONES PARA EL PACIENTE</w:t>
      </w:r>
    </w:p>
    <w:p w14:paraId="5562314C" w14:textId="77777777" w:rsidR="00365261" w:rsidRDefault="00365261" w:rsidP="00365261">
      <w:pPr>
        <w:pStyle w:val="NoSpacing"/>
      </w:pPr>
    </w:p>
    <w:p w14:paraId="5562314D" w14:textId="50A4D613" w:rsidR="00365261" w:rsidRPr="004407D4" w:rsidRDefault="008E5598" w:rsidP="00A85902">
      <w:pPr>
        <w:spacing w:after="0" w:line="240" w:lineRule="auto"/>
        <w:rPr>
          <w:b/>
          <w:sz w:val="36"/>
          <w:szCs w:val="36"/>
        </w:rPr>
      </w:pPr>
      <w:r>
        <w:rPr>
          <w:b/>
          <w:bCs/>
          <w:sz w:val="36"/>
          <w:szCs w:val="36"/>
        </w:rPr>
        <w:t xml:space="preserve">Artrografía </w:t>
      </w:r>
      <w:r w:rsidR="00725697">
        <w:rPr>
          <w:b/>
          <w:bCs/>
          <w:sz w:val="36"/>
          <w:szCs w:val="36"/>
        </w:rPr>
        <w:t xml:space="preserve">por </w:t>
      </w:r>
      <w:r>
        <w:rPr>
          <w:b/>
          <w:bCs/>
          <w:sz w:val="36"/>
          <w:szCs w:val="36"/>
        </w:rPr>
        <w:t>MRI</w:t>
      </w:r>
    </w:p>
    <w:p w14:paraId="6A7A6687" w14:textId="77777777" w:rsidR="005F7AAE" w:rsidRPr="004F01FB" w:rsidRDefault="00E06273" w:rsidP="00952C77">
      <w:pPr>
        <w:spacing w:before="240" w:after="360" w:line="240" w:lineRule="auto"/>
        <w:rPr>
          <w:rFonts w:ascii="Calibri" w:eastAsia="Calibri" w:hAnsi="Calibri" w:cs="Times New Roman"/>
          <w:sz w:val="20"/>
          <w:szCs w:val="24"/>
        </w:rPr>
      </w:pPr>
      <w:sdt>
        <w:sdtPr>
          <w:rPr>
            <w:rFonts w:ascii="Calibri" w:eastAsia="Calibri" w:hAnsi="Calibri" w:cs="Times New Roman"/>
            <w:sz w:val="20"/>
            <w:szCs w:val="24"/>
          </w:rPr>
          <w:id w:val="-1894345755"/>
          <w:placeholder>
            <w:docPart w:val="651903977BF74A1791E64F43716DBF0A"/>
          </w:placeholder>
        </w:sdtPr>
        <w:sdtEndPr/>
        <w:sdtContent>
          <w:sdt>
            <w:sdtPr>
              <w:rPr>
                <w:rFonts w:ascii="Calibri" w:eastAsia="Calibri" w:hAnsi="Calibri" w:cs="Times New Roman"/>
                <w:sz w:val="20"/>
                <w:szCs w:val="24"/>
              </w:rPr>
              <w:alias w:val="Patient"/>
              <w:tag w:val="Patient"/>
              <w:id w:val="-561942389"/>
              <w:lock w:val="contentLocked"/>
              <w:placeholder>
                <w:docPart w:val="651903977BF74A1791E64F43716DBF0A"/>
              </w:placeholder>
              <w:text/>
            </w:sdtPr>
            <w:sdtEndPr/>
            <w:sdtContent>
              <w:r w:rsidR="008B42BE">
                <w:rPr>
                  <w:rFonts w:ascii="Calibri" w:eastAsia="Calibri" w:hAnsi="Calibri" w:cs="Times New Roman"/>
                  <w:sz w:val="20"/>
                  <w:szCs w:val="24"/>
                </w:rPr>
                <w:t>Paciente:</w:t>
              </w:r>
            </w:sdtContent>
          </w:sdt>
        </w:sdtContent>
      </w:sdt>
      <w:r w:rsidR="000878EB">
        <w:rPr>
          <w:rFonts w:ascii="Calibri" w:hAnsi="Calibri"/>
          <w:sz w:val="20"/>
          <w:szCs w:val="24"/>
        </w:rPr>
        <w:t xml:space="preserve">____________________________________________________ </w:t>
      </w:r>
      <w:sdt>
        <w:sdtPr>
          <w:rPr>
            <w:rFonts w:ascii="Calibri" w:eastAsia="Calibri" w:hAnsi="Calibri" w:cs="Times New Roman"/>
            <w:sz w:val="20"/>
            <w:szCs w:val="24"/>
          </w:rPr>
          <w:alias w:val="Appointment Date"/>
          <w:tag w:val="Appointment Date"/>
          <w:id w:val="5489443"/>
          <w:lock w:val="contentLocked"/>
          <w:placeholder>
            <w:docPart w:val="651903977BF74A1791E64F43716DBF0A"/>
          </w:placeholder>
        </w:sdtPr>
        <w:sdtEndPr/>
        <w:sdtContent>
          <w:r w:rsidR="00741B19">
            <w:rPr>
              <w:rFonts w:ascii="Calibri" w:eastAsia="Calibri" w:hAnsi="Calibri" w:cs="Times New Roman"/>
              <w:sz w:val="20"/>
              <w:szCs w:val="24"/>
              <w:lang w:val="es-US"/>
            </w:rPr>
            <w:t>Fecha de la cita:</w:t>
          </w:r>
        </w:sdtContent>
      </w:sdt>
      <w:r w:rsidR="000878EB">
        <w:rPr>
          <w:rFonts w:ascii="Calibri" w:hAnsi="Calibri"/>
          <w:sz w:val="20"/>
          <w:szCs w:val="24"/>
        </w:rPr>
        <w:t xml:space="preserve"> ____________________</w:t>
      </w:r>
    </w:p>
    <w:p w14:paraId="74BC2F64" w14:textId="77777777" w:rsidR="005F7AAE" w:rsidRPr="004F01FB" w:rsidRDefault="00E06273" w:rsidP="00952C77">
      <w:pPr>
        <w:rPr>
          <w:rFonts w:ascii="Calibri" w:eastAsia="Calibri" w:hAnsi="Calibri" w:cs="Times New Roman"/>
          <w:sz w:val="20"/>
          <w:szCs w:val="24"/>
        </w:rPr>
      </w:pPr>
      <w:sdt>
        <w:sdtPr>
          <w:rPr>
            <w:rFonts w:ascii="Calibri" w:eastAsia="Calibri" w:hAnsi="Calibri" w:cs="Times New Roman"/>
            <w:sz w:val="20"/>
            <w:szCs w:val="24"/>
          </w:rPr>
          <w:alias w:val="Arrival time"/>
          <w:tag w:val="Arrival time"/>
          <w:id w:val="1187168663"/>
          <w:lock w:val="contentLocked"/>
          <w:placeholder>
            <w:docPart w:val="651903977BF74A1791E64F43716DBF0A"/>
          </w:placeholder>
        </w:sdtPr>
        <w:sdtEndPr/>
        <w:sdtContent>
          <w:r w:rsidR="00741B19">
            <w:rPr>
              <w:rFonts w:ascii="Calibri" w:eastAsia="Calibri" w:hAnsi="Calibri" w:cs="Times New Roman"/>
              <w:sz w:val="20"/>
              <w:szCs w:val="24"/>
              <w:lang w:val="es-US"/>
            </w:rPr>
            <w:t>Hora de llegada:</w:t>
          </w:r>
        </w:sdtContent>
      </w:sdt>
      <w:r w:rsidR="000878EB">
        <w:rPr>
          <w:rFonts w:ascii="Calibri" w:hAnsi="Calibri"/>
          <w:sz w:val="20"/>
          <w:szCs w:val="24"/>
        </w:rPr>
        <w:t xml:space="preserve"> _____________________ </w:t>
      </w:r>
      <w:sdt>
        <w:sdtPr>
          <w:rPr>
            <w:rFonts w:ascii="Calibri" w:eastAsia="Calibri" w:hAnsi="Calibri" w:cs="Times New Roman"/>
            <w:sz w:val="20"/>
            <w:szCs w:val="24"/>
          </w:rPr>
          <w:id w:val="-211584062"/>
          <w:lock w:val="contentLocked"/>
          <w:placeholder>
            <w:docPart w:val="651903977BF74A1791E64F43716DBF0A"/>
          </w:placeholder>
        </w:sdtPr>
        <w:sdtEndPr/>
        <w:sdtContent>
          <w:r w:rsidR="00741B19">
            <w:rPr>
              <w:rFonts w:ascii="Calibri" w:eastAsia="Calibri" w:hAnsi="Calibri" w:cs="Times New Roman"/>
              <w:sz w:val="20"/>
              <w:szCs w:val="24"/>
              <w:lang w:val="es-US"/>
            </w:rPr>
            <w:t>a. m./p. m.</w:t>
          </w:r>
        </w:sdtContent>
      </w:sdt>
      <w:r w:rsidR="000878EB">
        <w:tab/>
      </w:r>
    </w:p>
    <w:p w14:paraId="7273142C" w14:textId="2D35BBA9" w:rsidR="005F7AAE" w:rsidRPr="006435E2" w:rsidRDefault="00E06273" w:rsidP="00061F54">
      <w:pPr>
        <w:spacing w:after="0" w:line="240" w:lineRule="auto"/>
        <w:rPr>
          <w:rFonts w:ascii="Calibri" w:eastAsia="Calibri" w:hAnsi="Calibri" w:cs="Times New Roman"/>
          <w:sz w:val="20"/>
          <w:szCs w:val="24"/>
          <w:lang w:val="en-US"/>
        </w:rPr>
      </w:pPr>
      <w:sdt>
        <w:sdtPr>
          <w:rPr>
            <w:rFonts w:ascii="Calibri" w:eastAsia="Calibri" w:hAnsi="Calibri" w:cs="Times New Roman"/>
            <w:sz w:val="20"/>
            <w:szCs w:val="24"/>
          </w:rPr>
          <w:alias w:val="Location"/>
          <w:tag w:val="Location"/>
          <w:id w:val="1088040161"/>
          <w:lock w:val="contentLocked"/>
          <w:placeholder>
            <w:docPart w:val="3DF3F009B2B642E9A9FCFA0A79EF8DF4"/>
          </w:placeholder>
        </w:sdtPr>
        <w:sdtEndPr/>
        <w:sdtContent>
          <w:r w:rsidR="00741B19">
            <w:rPr>
              <w:rFonts w:ascii="Calibri" w:eastAsia="Calibri" w:hAnsi="Calibri" w:cs="Times New Roman"/>
              <w:sz w:val="20"/>
              <w:szCs w:val="24"/>
              <w:lang w:val="es-US"/>
            </w:rPr>
            <w:t>Ubicación:</w:t>
          </w:r>
        </w:sdtContent>
      </w:sdt>
      <w:r w:rsidR="000878EB" w:rsidRPr="006435E2">
        <w:rPr>
          <w:rFonts w:ascii="Calibri" w:hAnsi="Calibri"/>
          <w:sz w:val="20"/>
          <w:szCs w:val="24"/>
          <w:lang w:val="en-US"/>
        </w:rPr>
        <w:tab/>
      </w:r>
      <w:r w:rsidR="00061F54">
        <w:rPr>
          <w:sz w:val="20"/>
          <w:szCs w:val="24"/>
        </w:rPr>
        <w:t xml:space="preserve">Mankato </w:t>
      </w:r>
      <w:proofErr w:type="spellStart"/>
      <w:r w:rsidR="00061F54">
        <w:rPr>
          <w:sz w:val="20"/>
          <w:szCs w:val="24"/>
        </w:rPr>
        <w:t>Clinic</w:t>
      </w:r>
      <w:proofErr w:type="spellEnd"/>
    </w:p>
    <w:p w14:paraId="43D9DE23" w14:textId="77777777" w:rsidR="005F7AAE" w:rsidRPr="006435E2" w:rsidRDefault="005F7AAE" w:rsidP="00952C77">
      <w:pPr>
        <w:spacing w:after="120" w:line="240" w:lineRule="auto"/>
        <w:rPr>
          <w:rFonts w:ascii="Calibri" w:eastAsia="Calibri" w:hAnsi="Calibri" w:cs="Times New Roman"/>
          <w:sz w:val="20"/>
          <w:szCs w:val="24"/>
          <w:lang w:val="en-US"/>
        </w:rPr>
      </w:pPr>
      <w:r w:rsidRPr="006435E2">
        <w:rPr>
          <w:rFonts w:ascii="Calibri" w:hAnsi="Calibri"/>
          <w:sz w:val="20"/>
          <w:szCs w:val="24"/>
          <w:lang w:val="en-US"/>
        </w:rPr>
        <w:tab/>
      </w:r>
      <w:r w:rsidRPr="006435E2">
        <w:rPr>
          <w:rFonts w:ascii="Calibri" w:hAnsi="Calibri"/>
          <w:sz w:val="20"/>
          <w:szCs w:val="24"/>
          <w:lang w:val="en-US"/>
        </w:rPr>
        <w:tab/>
        <w:t>1230 East Main Street, Mankato, MN 56001</w:t>
      </w:r>
    </w:p>
    <w:p w14:paraId="182BABD3" w14:textId="74CA3F16" w:rsidR="005F7AAE" w:rsidRPr="000E1A7F" w:rsidRDefault="005F7AAE" w:rsidP="00952C77">
      <w:pPr>
        <w:spacing w:after="0" w:line="240" w:lineRule="auto"/>
        <w:rPr>
          <w:rFonts w:ascii="Calibri" w:eastAsia="Calibri" w:hAnsi="Calibri" w:cs="Times New Roman"/>
          <w:b/>
        </w:rPr>
      </w:pPr>
      <w:r>
        <w:rPr>
          <w:rFonts w:ascii="Calibri" w:hAnsi="Calibri"/>
          <w:b/>
          <w:bCs/>
        </w:rPr>
        <w:t>Regístrese en la Recepción Central antes de ir a la recepción de Diagnóstico por imágenes.</w:t>
      </w:r>
    </w:p>
    <w:p w14:paraId="5E6B7F96" w14:textId="77777777" w:rsidR="005F7AAE" w:rsidRDefault="00E06273" w:rsidP="00952C77">
      <w:pPr>
        <w:spacing w:after="120" w:line="240" w:lineRule="auto"/>
        <w:rPr>
          <w:rFonts w:ascii="Palatino Linotype" w:hAnsi="Palatino Linotype"/>
          <w:b/>
          <w:sz w:val="16"/>
          <w:szCs w:val="16"/>
        </w:rPr>
      </w:pPr>
      <w:sdt>
        <w:sdtPr>
          <w:rPr>
            <w:rFonts w:ascii="Calibri" w:eastAsia="Calibri" w:hAnsi="Calibri" w:cs="Times New Roman"/>
            <w:sz w:val="18"/>
            <w:szCs w:val="18"/>
          </w:rPr>
          <w:alias w:val="Change appointment"/>
          <w:tag w:val="Change appointment"/>
          <w:id w:val="492992695"/>
          <w:lock w:val="contentLocked"/>
          <w:placeholder>
            <w:docPart w:val="503AE991C44341E2BC6A5932AA0F403F"/>
          </w:placeholder>
        </w:sdtPr>
        <w:sdtEndPr/>
        <w:sdtContent>
          <w:r w:rsidR="00741B19">
            <w:rPr>
              <w:rFonts w:ascii="Calibri" w:eastAsia="Calibri" w:hAnsi="Calibri" w:cs="Times New Roman"/>
              <w:sz w:val="18"/>
              <w:szCs w:val="18"/>
              <w:lang w:val="es-US"/>
            </w:rPr>
            <w:t>Si no puede asistir a su cita o tiene preguntas, llame al</w:t>
          </w:r>
        </w:sdtContent>
      </w:sdt>
      <w:r w:rsidR="000878EB">
        <w:rPr>
          <w:rFonts w:ascii="Calibri" w:hAnsi="Calibri"/>
          <w:sz w:val="18"/>
          <w:szCs w:val="18"/>
        </w:rPr>
        <w:t xml:space="preserve"> (507) 389-8570</w:t>
      </w:r>
      <w:r w:rsidR="000878EB">
        <w:rPr>
          <w:rFonts w:ascii="Calibri" w:hAnsi="Calibri"/>
          <w:sz w:val="20"/>
          <w:szCs w:val="20"/>
        </w:rPr>
        <w:t>.</w:t>
      </w:r>
    </w:p>
    <w:p w14:paraId="60AC7992" w14:textId="306B75A7" w:rsidR="0098101C" w:rsidRDefault="0065091D" w:rsidP="0098101C">
      <w:pPr>
        <w:spacing w:after="120" w:line="240" w:lineRule="auto"/>
        <w:rPr>
          <w:b/>
        </w:rPr>
      </w:pPr>
      <w:r>
        <w:rPr>
          <w:b/>
          <w:bCs/>
          <w:sz w:val="20"/>
          <w:szCs w:val="20"/>
        </w:rPr>
        <w:t xml:space="preserve">¿Qué es una </w:t>
      </w:r>
      <w:r>
        <w:rPr>
          <w:b/>
          <w:bCs/>
        </w:rPr>
        <w:t>artrografía</w:t>
      </w:r>
      <w:r w:rsidR="00725697">
        <w:rPr>
          <w:b/>
          <w:bCs/>
        </w:rPr>
        <w:t xml:space="preserve"> por</w:t>
      </w:r>
      <w:r>
        <w:rPr>
          <w:b/>
          <w:bCs/>
        </w:rPr>
        <w:t xml:space="preserve"> MRI?</w:t>
      </w:r>
    </w:p>
    <w:p w14:paraId="06D5ED40" w14:textId="3AF3F4A2" w:rsidR="0098101C" w:rsidRPr="0098101C" w:rsidRDefault="007D3551" w:rsidP="000878EB">
      <w:pPr>
        <w:spacing w:after="120" w:line="230" w:lineRule="exact"/>
        <w:rPr>
          <w:b/>
        </w:rPr>
      </w:pPr>
      <w:r>
        <w:rPr>
          <w:sz w:val="20"/>
          <w:szCs w:val="20"/>
        </w:rPr>
        <w:t xml:space="preserve">Una </w:t>
      </w:r>
      <w:r w:rsidR="00725697">
        <w:rPr>
          <w:sz w:val="20"/>
          <w:szCs w:val="20"/>
        </w:rPr>
        <w:t>artrografía por MRI</w:t>
      </w:r>
      <w:r>
        <w:rPr>
          <w:sz w:val="20"/>
          <w:szCs w:val="20"/>
        </w:rPr>
        <w:t xml:space="preserve"> está diseñada para diagnosticar problemas en una articulación.  Se inyecta medio de contraste en la articulación y las estructuras alrededor dentro de la articulación. Esto le ayuda a mejorar la visualización de las </w:t>
      </w:r>
      <w:r w:rsidR="00220F2F">
        <w:rPr>
          <w:sz w:val="20"/>
          <w:szCs w:val="20"/>
        </w:rPr>
        <w:t>estructuras de la articulación.</w:t>
      </w:r>
    </w:p>
    <w:sdt>
      <w:sdtPr>
        <w:rPr>
          <w:b/>
        </w:rPr>
        <w:alias w:val="Prepare"/>
        <w:tag w:val="Prepare"/>
        <w:id w:val="2094670239"/>
        <w:lock w:val="contentLocked"/>
        <w:placeholder>
          <w:docPart w:val="CB785A1C07024FE3BF928D3E71B9D141"/>
        </w:placeholder>
      </w:sdtPr>
      <w:sdtEndPr/>
      <w:sdtContent>
        <w:p w14:paraId="55623158" w14:textId="77777777" w:rsidR="00365261" w:rsidRPr="004407D4" w:rsidRDefault="00365261" w:rsidP="00A85902">
          <w:pPr>
            <w:spacing w:after="0"/>
            <w:rPr>
              <w:b/>
            </w:rPr>
          </w:pPr>
          <w:r>
            <w:rPr>
              <w:b/>
              <w:bCs/>
              <w:lang w:val="es-US"/>
            </w:rPr>
            <w:t>¿Cómo me preparo para la prueba?</w:t>
          </w:r>
        </w:p>
      </w:sdtContent>
    </w:sdt>
    <w:p w14:paraId="297F0FDD" w14:textId="0EAAE120" w:rsidR="00A85902" w:rsidRPr="007B3EB5" w:rsidRDefault="00A85902" w:rsidP="000878EB">
      <w:pPr>
        <w:pStyle w:val="ListParagraph"/>
        <w:numPr>
          <w:ilvl w:val="0"/>
          <w:numId w:val="1"/>
        </w:numPr>
        <w:spacing w:after="0" w:line="230" w:lineRule="exact"/>
        <w:rPr>
          <w:sz w:val="19"/>
          <w:szCs w:val="19"/>
        </w:rPr>
      </w:pPr>
      <w:r>
        <w:rPr>
          <w:sz w:val="19"/>
          <w:szCs w:val="19"/>
        </w:rPr>
        <w:t xml:space="preserve">Antes de hacer la cita para la prueba, indíquele al proveedor si usted tiene algo de lo siguiente: marcapasos cardiaco, clips para aneurismas cerebrales, implantes cocleares del oído medio o interno, embarazo, heridas de balas o esquirlas, lesiones en el ojo que involucran objetos metálicos o cuerpos extraños. </w:t>
      </w:r>
    </w:p>
    <w:p w14:paraId="67C8DED1" w14:textId="4CF81348" w:rsidR="00A85902" w:rsidRPr="007B3EB5" w:rsidRDefault="00A85902" w:rsidP="000878EB">
      <w:pPr>
        <w:pStyle w:val="ListParagraph"/>
        <w:numPr>
          <w:ilvl w:val="0"/>
          <w:numId w:val="1"/>
        </w:numPr>
        <w:spacing w:after="0" w:line="230" w:lineRule="exact"/>
        <w:rPr>
          <w:sz w:val="19"/>
          <w:szCs w:val="19"/>
        </w:rPr>
      </w:pPr>
      <w:r>
        <w:rPr>
          <w:sz w:val="19"/>
          <w:szCs w:val="19"/>
        </w:rPr>
        <w:t>Indíquele a su proveedor si tiene alguna alergia al contraste intravenoso (tinte para rayos X por línea intravenosa), o si alguna vez ha tenido una reacción alérgica grave a cualquier sustancia.  Puede ser necesario que usted tome un medicamento especial antes de su prueba.</w:t>
      </w:r>
    </w:p>
    <w:p w14:paraId="05E9398B" w14:textId="2738BFFB" w:rsidR="00601A36" w:rsidRPr="007B3EB5" w:rsidRDefault="00601A36" w:rsidP="000878EB">
      <w:pPr>
        <w:pStyle w:val="ListParagraph"/>
        <w:numPr>
          <w:ilvl w:val="0"/>
          <w:numId w:val="1"/>
        </w:numPr>
        <w:spacing w:after="0" w:line="230" w:lineRule="exact"/>
        <w:rPr>
          <w:sz w:val="19"/>
          <w:szCs w:val="19"/>
        </w:rPr>
      </w:pPr>
      <w:r>
        <w:rPr>
          <w:sz w:val="19"/>
          <w:szCs w:val="19"/>
        </w:rPr>
        <w:t>Recomendamos que se comunique con su compañía de seguros antes de su cita para entender cuál es su cobertura para esta prueba.</w:t>
      </w:r>
    </w:p>
    <w:p w14:paraId="5834262D" w14:textId="27564574" w:rsidR="00A85902" w:rsidRPr="007B3EB5" w:rsidRDefault="007D3551" w:rsidP="000878EB">
      <w:pPr>
        <w:pStyle w:val="ListParagraph"/>
        <w:numPr>
          <w:ilvl w:val="0"/>
          <w:numId w:val="1"/>
        </w:numPr>
        <w:spacing w:after="0" w:line="230" w:lineRule="exact"/>
        <w:rPr>
          <w:sz w:val="19"/>
          <w:szCs w:val="19"/>
        </w:rPr>
      </w:pPr>
      <w:r>
        <w:rPr>
          <w:sz w:val="19"/>
          <w:szCs w:val="19"/>
        </w:rPr>
        <w:t xml:space="preserve">Debe evitar comer algo pesado antes de su inyección. </w:t>
      </w:r>
    </w:p>
    <w:p w14:paraId="57E1A311" w14:textId="3870E3B4" w:rsidR="004D6970" w:rsidRPr="007B3EB5" w:rsidRDefault="004D6970" w:rsidP="000878EB">
      <w:pPr>
        <w:numPr>
          <w:ilvl w:val="0"/>
          <w:numId w:val="1"/>
        </w:numPr>
        <w:spacing w:after="0" w:line="230" w:lineRule="exact"/>
        <w:contextualSpacing/>
        <w:rPr>
          <w:rFonts w:eastAsia="Calibri" w:cs="Times New Roman"/>
          <w:b/>
          <w:sz w:val="19"/>
          <w:szCs w:val="19"/>
        </w:rPr>
      </w:pPr>
      <w:r>
        <w:rPr>
          <w:sz w:val="19"/>
          <w:szCs w:val="19"/>
        </w:rPr>
        <w:t>Evite tomar cualquier medicamento anticoagulante de venta libre que NO haya sido recetado por su proveedor el día de su procedimiento (algunos ejemplos incluyen:  Advil, ibuprofeno, aspirina y aspirina para niños).</w:t>
      </w:r>
    </w:p>
    <w:p w14:paraId="33B32CE9" w14:textId="2F151C0B" w:rsidR="007D3551" w:rsidRPr="007B3EB5" w:rsidRDefault="004D6970" w:rsidP="000878EB">
      <w:pPr>
        <w:pStyle w:val="ListParagraph"/>
        <w:numPr>
          <w:ilvl w:val="0"/>
          <w:numId w:val="1"/>
        </w:numPr>
        <w:spacing w:after="0" w:line="230" w:lineRule="exact"/>
        <w:rPr>
          <w:sz w:val="19"/>
          <w:szCs w:val="19"/>
        </w:rPr>
      </w:pPr>
      <w:r>
        <w:rPr>
          <w:sz w:val="19"/>
          <w:szCs w:val="19"/>
        </w:rPr>
        <w:t xml:space="preserve">Si toma otros medicamentos anticoagulantes, consulte con su médico en relación con las instrucciones para cuándo ya no tomarlos. </w:t>
      </w:r>
    </w:p>
    <w:p w14:paraId="3ADC2CDC" w14:textId="758CA8AF" w:rsidR="004D6970" w:rsidRPr="007B3EB5" w:rsidRDefault="004D6970" w:rsidP="000878EB">
      <w:pPr>
        <w:numPr>
          <w:ilvl w:val="0"/>
          <w:numId w:val="1"/>
        </w:numPr>
        <w:spacing w:after="0" w:line="230" w:lineRule="exact"/>
        <w:rPr>
          <w:rFonts w:eastAsia="Calibri" w:cs="Times New Roman"/>
          <w:b/>
          <w:sz w:val="19"/>
          <w:szCs w:val="19"/>
        </w:rPr>
      </w:pPr>
      <w:r>
        <w:rPr>
          <w:sz w:val="19"/>
          <w:szCs w:val="19"/>
        </w:rPr>
        <w:t xml:space="preserve">Si le van a aplicar </w:t>
      </w:r>
      <w:r>
        <w:rPr>
          <w:b/>
          <w:bCs/>
          <w:sz w:val="19"/>
          <w:szCs w:val="19"/>
        </w:rPr>
        <w:t>una inyección en la cadera o articulación sacroilíaca</w:t>
      </w:r>
      <w:r>
        <w:rPr>
          <w:sz w:val="19"/>
          <w:szCs w:val="19"/>
        </w:rPr>
        <w:t xml:space="preserve">, se </w:t>
      </w:r>
      <w:r>
        <w:rPr>
          <w:b/>
          <w:bCs/>
          <w:sz w:val="19"/>
          <w:szCs w:val="19"/>
        </w:rPr>
        <w:t xml:space="preserve">REQUIERE </w:t>
      </w:r>
      <w:r>
        <w:rPr>
          <w:sz w:val="19"/>
          <w:szCs w:val="19"/>
        </w:rPr>
        <w:t xml:space="preserve">que una persona maneje de regreso después del procedimiento. No podrá conducir por el resto del día. </w:t>
      </w:r>
    </w:p>
    <w:p w14:paraId="4ED692E0" w14:textId="77777777" w:rsidR="000113E2" w:rsidRPr="007B3EB5" w:rsidRDefault="000113E2" w:rsidP="000878EB">
      <w:pPr>
        <w:pStyle w:val="ListParagraph"/>
        <w:numPr>
          <w:ilvl w:val="0"/>
          <w:numId w:val="1"/>
        </w:numPr>
        <w:spacing w:after="0" w:line="230" w:lineRule="exact"/>
        <w:rPr>
          <w:sz w:val="19"/>
          <w:szCs w:val="19"/>
        </w:rPr>
      </w:pPr>
      <w:r>
        <w:rPr>
          <w:sz w:val="19"/>
          <w:szCs w:val="19"/>
        </w:rPr>
        <w:t xml:space="preserve">Utilice ropa cómoda y holgada, libre de cremalleras/cierres, botones u otros dispositivos metálicos. </w:t>
      </w:r>
    </w:p>
    <w:p w14:paraId="3385790E" w14:textId="144E45F7" w:rsidR="00A85902" w:rsidRPr="007B3EB5" w:rsidRDefault="00A85902" w:rsidP="000878EB">
      <w:pPr>
        <w:pStyle w:val="ListParagraph"/>
        <w:numPr>
          <w:ilvl w:val="0"/>
          <w:numId w:val="1"/>
        </w:numPr>
        <w:spacing w:after="0" w:line="230" w:lineRule="exact"/>
        <w:rPr>
          <w:sz w:val="19"/>
          <w:szCs w:val="19"/>
        </w:rPr>
      </w:pPr>
      <w:r>
        <w:rPr>
          <w:sz w:val="19"/>
          <w:szCs w:val="19"/>
        </w:rPr>
        <w:t xml:space="preserve">Deberá quitarse todos los objetos metálicos, esmalte de uñas, maquillaje y aretes antes del examen.  Si tiene dentaduras postizas se le pedirá que se las quite para el examen. </w:t>
      </w:r>
    </w:p>
    <w:p w14:paraId="5562315F" w14:textId="77777777" w:rsidR="00552389" w:rsidRDefault="00552389" w:rsidP="00A85902">
      <w:pPr>
        <w:spacing w:after="0"/>
        <w:rPr>
          <w:sz w:val="20"/>
          <w:szCs w:val="20"/>
        </w:rPr>
      </w:pPr>
    </w:p>
    <w:sdt>
      <w:sdtPr>
        <w:rPr>
          <w:b/>
        </w:rPr>
        <w:alias w:val="What will happen"/>
        <w:tag w:val="What will happen"/>
        <w:id w:val="-1213275987"/>
        <w:lock w:val="contentLocked"/>
        <w:placeholder>
          <w:docPart w:val="CB785A1C07024FE3BF928D3E71B9D141"/>
        </w:placeholder>
      </w:sdtPr>
      <w:sdtEndPr/>
      <w:sdtContent>
        <w:p w14:paraId="55623161" w14:textId="711A42F7" w:rsidR="00552389" w:rsidRPr="005F7AAE" w:rsidRDefault="00365261" w:rsidP="005F7AAE">
          <w:pPr>
            <w:spacing w:after="0"/>
            <w:rPr>
              <w:b/>
            </w:rPr>
          </w:pPr>
          <w:r>
            <w:rPr>
              <w:b/>
              <w:bCs/>
              <w:lang w:val="es-US"/>
            </w:rPr>
            <w:t>¿Qué pasará durante la prueba?</w:t>
          </w:r>
        </w:p>
      </w:sdtContent>
    </w:sdt>
    <w:p w14:paraId="3D5A50D6" w14:textId="5C585421" w:rsidR="007B3EB5" w:rsidRPr="007B3EB5" w:rsidRDefault="007B3EB5" w:rsidP="000878EB">
      <w:pPr>
        <w:pStyle w:val="ListParagraph"/>
        <w:numPr>
          <w:ilvl w:val="0"/>
          <w:numId w:val="1"/>
        </w:numPr>
        <w:spacing w:after="0" w:line="230" w:lineRule="exact"/>
        <w:rPr>
          <w:sz w:val="19"/>
          <w:szCs w:val="19"/>
        </w:rPr>
      </w:pPr>
      <w:r>
        <w:rPr>
          <w:sz w:val="19"/>
          <w:szCs w:val="19"/>
        </w:rPr>
        <w:t>Antes de que lo lleven al escaneo de MRI, se repasará el formulario de prueba de detección segura para MRI, y usted y el técnico de MRI deberán firmarlo.</w:t>
      </w:r>
    </w:p>
    <w:p w14:paraId="55623162" w14:textId="43A04CAE" w:rsidR="00365261" w:rsidRPr="007B3EB5" w:rsidRDefault="00552389" w:rsidP="000878EB">
      <w:pPr>
        <w:pStyle w:val="ListParagraph"/>
        <w:numPr>
          <w:ilvl w:val="0"/>
          <w:numId w:val="1"/>
        </w:numPr>
        <w:spacing w:after="0" w:line="230" w:lineRule="exact"/>
        <w:rPr>
          <w:sz w:val="19"/>
          <w:szCs w:val="19"/>
        </w:rPr>
      </w:pPr>
      <w:r>
        <w:rPr>
          <w:sz w:val="19"/>
          <w:szCs w:val="19"/>
        </w:rPr>
        <w:t>Se le pedirá que se ponga una bata y retire todos los artículos magnéticos.</w:t>
      </w:r>
    </w:p>
    <w:p w14:paraId="187347F7" w14:textId="77554573" w:rsidR="004D6970" w:rsidRPr="007B3EB5" w:rsidRDefault="004D6970" w:rsidP="000878EB">
      <w:pPr>
        <w:numPr>
          <w:ilvl w:val="0"/>
          <w:numId w:val="1"/>
        </w:numPr>
        <w:spacing w:after="0" w:line="230" w:lineRule="exact"/>
        <w:contextualSpacing/>
        <w:rPr>
          <w:rFonts w:eastAsia="Calibri" w:cs="Times New Roman"/>
          <w:sz w:val="19"/>
          <w:szCs w:val="19"/>
        </w:rPr>
      </w:pPr>
      <w:r>
        <w:rPr>
          <w:sz w:val="19"/>
          <w:szCs w:val="19"/>
        </w:rPr>
        <w:t xml:space="preserve">El área de interés se evaluará con </w:t>
      </w:r>
      <w:proofErr w:type="spellStart"/>
      <w:r>
        <w:rPr>
          <w:sz w:val="19"/>
          <w:szCs w:val="19"/>
        </w:rPr>
        <w:t>fluoroscopía</w:t>
      </w:r>
      <w:proofErr w:type="spellEnd"/>
      <w:r>
        <w:rPr>
          <w:sz w:val="19"/>
          <w:szCs w:val="19"/>
        </w:rPr>
        <w:t xml:space="preserve"> para determinar el mejor enfoque.</w:t>
      </w:r>
    </w:p>
    <w:p w14:paraId="199C983D" w14:textId="65415EEB" w:rsidR="004D6970" w:rsidRPr="007B3EB5" w:rsidRDefault="004D6970" w:rsidP="000878EB">
      <w:pPr>
        <w:numPr>
          <w:ilvl w:val="0"/>
          <w:numId w:val="1"/>
        </w:numPr>
        <w:spacing w:after="0" w:line="230" w:lineRule="exact"/>
        <w:contextualSpacing/>
        <w:rPr>
          <w:rFonts w:eastAsia="Calibri" w:cs="Times New Roman"/>
          <w:sz w:val="19"/>
          <w:szCs w:val="19"/>
        </w:rPr>
      </w:pPr>
      <w:r>
        <w:rPr>
          <w:sz w:val="19"/>
          <w:szCs w:val="19"/>
        </w:rPr>
        <w:t>Antes del procedimiento, se limpiará la piel con almohadillas antisépticas para eliminar las bacterias de la superficie.  Le pondrán una gasa o toallas estériles alrededor del área para crear un campo estéril.</w:t>
      </w:r>
    </w:p>
    <w:p w14:paraId="278916E8" w14:textId="17E3424D" w:rsidR="004D6970" w:rsidRPr="007B3EB5" w:rsidRDefault="00BD012F" w:rsidP="000878EB">
      <w:pPr>
        <w:numPr>
          <w:ilvl w:val="0"/>
          <w:numId w:val="1"/>
        </w:numPr>
        <w:spacing w:after="0" w:line="230" w:lineRule="exact"/>
        <w:contextualSpacing/>
        <w:rPr>
          <w:rFonts w:eastAsia="Calibri" w:cs="Times New Roman"/>
          <w:sz w:val="19"/>
          <w:szCs w:val="19"/>
        </w:rPr>
      </w:pPr>
      <w:r>
        <w:rPr>
          <w:sz w:val="19"/>
          <w:szCs w:val="19"/>
        </w:rPr>
        <w:t>El radiólogo podría inyectar un anestésico local llamado lidocaína para adormecer el área. Es posible que sienta un ligero ardor o presión cuando hagamos esto.</w:t>
      </w:r>
    </w:p>
    <w:p w14:paraId="7E337DEF" w14:textId="55EF2749" w:rsidR="004D6970" w:rsidRPr="007B3EB5" w:rsidRDefault="004D6970" w:rsidP="000878EB">
      <w:pPr>
        <w:numPr>
          <w:ilvl w:val="0"/>
          <w:numId w:val="1"/>
        </w:numPr>
        <w:spacing w:after="0" w:line="230" w:lineRule="exact"/>
        <w:outlineLvl w:val="0"/>
        <w:rPr>
          <w:sz w:val="19"/>
          <w:szCs w:val="19"/>
        </w:rPr>
      </w:pPr>
      <w:r>
        <w:rPr>
          <w:sz w:val="19"/>
          <w:szCs w:val="19"/>
        </w:rPr>
        <w:t xml:space="preserve">Luego se inserta una aguja fina (delgada) en la articulación/tendón.  Bajo </w:t>
      </w:r>
      <w:proofErr w:type="spellStart"/>
      <w:r>
        <w:rPr>
          <w:sz w:val="19"/>
          <w:szCs w:val="19"/>
        </w:rPr>
        <w:t>fluoroscopía</w:t>
      </w:r>
      <w:proofErr w:type="spellEnd"/>
      <w:r>
        <w:rPr>
          <w:sz w:val="19"/>
          <w:szCs w:val="19"/>
        </w:rPr>
        <w:t>, el tinte del contraste puede inyectarse en el espacio de la articulación para verificar la ubicación adecuada de la aguja.</w:t>
      </w:r>
    </w:p>
    <w:p w14:paraId="0CAB0043" w14:textId="425FDDAA" w:rsidR="005F7AAE" w:rsidRPr="007B3EB5" w:rsidRDefault="005F7AAE" w:rsidP="000878EB">
      <w:pPr>
        <w:pStyle w:val="ListParagraph"/>
        <w:numPr>
          <w:ilvl w:val="0"/>
          <w:numId w:val="1"/>
        </w:numPr>
        <w:spacing w:after="0" w:line="230" w:lineRule="exact"/>
        <w:rPr>
          <w:sz w:val="19"/>
          <w:szCs w:val="19"/>
        </w:rPr>
      </w:pPr>
      <w:r>
        <w:rPr>
          <w:sz w:val="19"/>
          <w:szCs w:val="19"/>
        </w:rPr>
        <w:t xml:space="preserve">Después lo trasladarán a la </w:t>
      </w:r>
      <w:r w:rsidR="00725697">
        <w:rPr>
          <w:sz w:val="19"/>
          <w:szCs w:val="19"/>
        </w:rPr>
        <w:t xml:space="preserve">sala de </w:t>
      </w:r>
      <w:r>
        <w:rPr>
          <w:sz w:val="19"/>
          <w:szCs w:val="19"/>
        </w:rPr>
        <w:t xml:space="preserve">MRI, donde se le pedirá que se acueste sobre la mesa de imágenes.  Se colocará una espiral especial cerca del área de su cuerpo que se está examinando. </w:t>
      </w:r>
    </w:p>
    <w:p w14:paraId="62504ED2" w14:textId="72C79E64" w:rsidR="005F7AAE" w:rsidRPr="007B3EB5" w:rsidRDefault="004A5BB5" w:rsidP="000878EB">
      <w:pPr>
        <w:pStyle w:val="ListParagraph"/>
        <w:numPr>
          <w:ilvl w:val="0"/>
          <w:numId w:val="1"/>
        </w:numPr>
        <w:spacing w:after="0" w:line="230" w:lineRule="exact"/>
        <w:rPr>
          <w:sz w:val="19"/>
          <w:szCs w:val="19"/>
        </w:rPr>
      </w:pPr>
      <w:r>
        <w:rPr>
          <w:sz w:val="19"/>
          <w:szCs w:val="19"/>
        </w:rPr>
        <w:t xml:space="preserve">Cuando empiece la MRI, escuchará sonidos de golpes rápidos que salen de las paredes del escáner. Se le dará protección auditiva para acallar el ruido. </w:t>
      </w:r>
    </w:p>
    <w:p w14:paraId="55623163" w14:textId="7A67C470" w:rsidR="00365261" w:rsidRPr="007B3EB5" w:rsidRDefault="005F7AAE" w:rsidP="000878EB">
      <w:pPr>
        <w:pStyle w:val="ListParagraph"/>
        <w:numPr>
          <w:ilvl w:val="0"/>
          <w:numId w:val="1"/>
        </w:numPr>
        <w:spacing w:after="0" w:line="230" w:lineRule="exact"/>
        <w:rPr>
          <w:sz w:val="19"/>
          <w:szCs w:val="19"/>
        </w:rPr>
      </w:pPr>
      <w:r>
        <w:rPr>
          <w:sz w:val="19"/>
          <w:szCs w:val="19"/>
        </w:rPr>
        <w:t>Es muy importante evitar movimientos.</w:t>
      </w:r>
    </w:p>
    <w:p w14:paraId="54CF5DBE" w14:textId="20DC9C56" w:rsidR="004B3D57" w:rsidRDefault="005F7AAE" w:rsidP="000878EB">
      <w:pPr>
        <w:pStyle w:val="ListParagraph"/>
        <w:numPr>
          <w:ilvl w:val="0"/>
          <w:numId w:val="1"/>
        </w:numPr>
        <w:spacing w:after="0" w:line="230" w:lineRule="exact"/>
        <w:rPr>
          <w:sz w:val="19"/>
          <w:szCs w:val="19"/>
        </w:rPr>
      </w:pPr>
      <w:r>
        <w:rPr>
          <w:sz w:val="19"/>
          <w:szCs w:val="19"/>
        </w:rPr>
        <w:t>Su examen tendrá una duración de alrededor de 2 horas.</w:t>
      </w:r>
    </w:p>
    <w:p w14:paraId="4809DFD8" w14:textId="77777777" w:rsidR="007B3EB5" w:rsidRDefault="007B3EB5" w:rsidP="007B3EB5">
      <w:pPr>
        <w:pStyle w:val="ListParagraph"/>
        <w:spacing w:after="0"/>
        <w:rPr>
          <w:sz w:val="19"/>
          <w:szCs w:val="19"/>
        </w:rPr>
      </w:pPr>
    </w:p>
    <w:p w14:paraId="2B796A20" w14:textId="77777777" w:rsidR="000878EB" w:rsidRPr="007B3EB5" w:rsidRDefault="000878EB" w:rsidP="007B3EB5">
      <w:pPr>
        <w:pStyle w:val="ListParagraph"/>
        <w:spacing w:after="0"/>
        <w:rPr>
          <w:sz w:val="19"/>
          <w:szCs w:val="19"/>
        </w:rPr>
      </w:pPr>
    </w:p>
    <w:sdt>
      <w:sdtPr>
        <w:rPr>
          <w:b/>
        </w:rPr>
        <w:alias w:val="Instructions"/>
        <w:tag w:val="Instructions"/>
        <w:id w:val="-1877303023"/>
        <w:lock w:val="contentLocked"/>
        <w:placeholder>
          <w:docPart w:val="8323E1A3BD854EDA899282B886438A56"/>
        </w:placeholder>
      </w:sdtPr>
      <w:sdtEndPr/>
      <w:sdtContent>
        <w:sdt>
          <w:sdtPr>
            <w:rPr>
              <w:b/>
            </w:rPr>
            <w:id w:val="-660931116"/>
            <w:lock w:val="contentLocked"/>
            <w:placeholder>
              <w:docPart w:val="8323E1A3BD854EDA899282B886438A56"/>
            </w:placeholder>
            <w:text/>
          </w:sdtPr>
          <w:sdtEndPr/>
          <w:sdtContent>
            <w:p w14:paraId="55623165" w14:textId="7D43A3F2" w:rsidR="0065091D" w:rsidRPr="0065091D" w:rsidRDefault="008B42BE" w:rsidP="0065091D">
              <w:pPr>
                <w:spacing w:after="0"/>
                <w:rPr>
                  <w:b/>
                </w:rPr>
              </w:pPr>
              <w:r>
                <w:rPr>
                  <w:b/>
                </w:rPr>
                <w:t>Instrucciones para después de la prueba:</w:t>
              </w:r>
            </w:p>
          </w:sdtContent>
        </w:sdt>
      </w:sdtContent>
    </w:sdt>
    <w:p w14:paraId="1D1BA177" w14:textId="4F55207F" w:rsidR="004D6970" w:rsidRPr="007B3EB5" w:rsidRDefault="004D6970" w:rsidP="000878EB">
      <w:pPr>
        <w:numPr>
          <w:ilvl w:val="0"/>
          <w:numId w:val="8"/>
        </w:numPr>
        <w:spacing w:after="0" w:line="230" w:lineRule="exact"/>
        <w:rPr>
          <w:rFonts w:eastAsia="Calibri" w:cs="Times New Roman"/>
          <w:sz w:val="19"/>
          <w:szCs w:val="19"/>
        </w:rPr>
      </w:pPr>
      <w:r>
        <w:rPr>
          <w:sz w:val="19"/>
          <w:szCs w:val="19"/>
        </w:rPr>
        <w:t xml:space="preserve">Le pondrán </w:t>
      </w:r>
      <w:proofErr w:type="gramStart"/>
      <w:r>
        <w:rPr>
          <w:sz w:val="19"/>
          <w:szCs w:val="19"/>
        </w:rPr>
        <w:t>una curita</w:t>
      </w:r>
      <w:proofErr w:type="gramEnd"/>
      <w:r>
        <w:rPr>
          <w:sz w:val="19"/>
          <w:szCs w:val="19"/>
        </w:rPr>
        <w:t xml:space="preserve"> en el sitio de la inyección y se la puede quitar después de dos horas.</w:t>
      </w:r>
    </w:p>
    <w:p w14:paraId="1695E025" w14:textId="77777777" w:rsidR="004D6970" w:rsidRPr="007B3EB5" w:rsidRDefault="004D6970" w:rsidP="000878EB">
      <w:pPr>
        <w:numPr>
          <w:ilvl w:val="0"/>
          <w:numId w:val="8"/>
        </w:numPr>
        <w:spacing w:after="0" w:line="230" w:lineRule="exact"/>
        <w:rPr>
          <w:rFonts w:eastAsia="Calibri" w:cs="Times New Roman"/>
          <w:sz w:val="19"/>
          <w:szCs w:val="19"/>
        </w:rPr>
      </w:pPr>
      <w:r>
        <w:rPr>
          <w:sz w:val="19"/>
          <w:szCs w:val="19"/>
        </w:rPr>
        <w:t>El área puede estar sensible o adolorida por varios días después de la inyección.  Para ayudar con este malestar, puede:</w:t>
      </w:r>
    </w:p>
    <w:p w14:paraId="0EC49734" w14:textId="031B4375" w:rsidR="004D6970" w:rsidRPr="007B3EB5" w:rsidRDefault="004D6970" w:rsidP="000878EB">
      <w:pPr>
        <w:pStyle w:val="ListParagraph"/>
        <w:numPr>
          <w:ilvl w:val="0"/>
          <w:numId w:val="9"/>
        </w:numPr>
        <w:spacing w:after="0" w:line="230" w:lineRule="exact"/>
        <w:contextualSpacing w:val="0"/>
        <w:rPr>
          <w:rFonts w:eastAsia="Calibri" w:cs="Times New Roman"/>
          <w:sz w:val="19"/>
          <w:szCs w:val="19"/>
        </w:rPr>
      </w:pPr>
      <w:r>
        <w:rPr>
          <w:sz w:val="19"/>
          <w:szCs w:val="19"/>
        </w:rPr>
        <w:t>Tomar 1 a 2 tabletas de acetaminofén (</w:t>
      </w:r>
      <w:proofErr w:type="spellStart"/>
      <w:r>
        <w:rPr>
          <w:sz w:val="19"/>
          <w:szCs w:val="19"/>
        </w:rPr>
        <w:t>Tylenol</w:t>
      </w:r>
      <w:proofErr w:type="spellEnd"/>
      <w:r>
        <w:rPr>
          <w:sz w:val="19"/>
          <w:szCs w:val="19"/>
        </w:rPr>
        <w:t>) cada 6 horas</w:t>
      </w:r>
    </w:p>
    <w:p w14:paraId="39C386EA" w14:textId="4045EE37" w:rsidR="004D6970" w:rsidRPr="007B3EB5" w:rsidRDefault="004D6970" w:rsidP="000878EB">
      <w:pPr>
        <w:pStyle w:val="ListParagraph"/>
        <w:numPr>
          <w:ilvl w:val="0"/>
          <w:numId w:val="9"/>
        </w:numPr>
        <w:spacing w:after="0" w:line="230" w:lineRule="exact"/>
        <w:contextualSpacing w:val="0"/>
        <w:rPr>
          <w:rFonts w:eastAsia="Calibri" w:cs="Times New Roman"/>
          <w:sz w:val="19"/>
          <w:szCs w:val="19"/>
        </w:rPr>
      </w:pPr>
      <w:r>
        <w:rPr>
          <w:sz w:val="19"/>
          <w:szCs w:val="19"/>
        </w:rPr>
        <w:t>Aplicar una compresa o un vendaje de hielo</w:t>
      </w:r>
    </w:p>
    <w:p w14:paraId="47A3DD7F" w14:textId="67AE5169" w:rsidR="007E43F8" w:rsidRPr="007B3EB5" w:rsidRDefault="007E43F8" w:rsidP="000878EB">
      <w:pPr>
        <w:pStyle w:val="ListParagraph"/>
        <w:numPr>
          <w:ilvl w:val="0"/>
          <w:numId w:val="1"/>
        </w:numPr>
        <w:spacing w:after="0" w:line="230" w:lineRule="exact"/>
        <w:rPr>
          <w:sz w:val="19"/>
          <w:szCs w:val="19"/>
        </w:rPr>
      </w:pPr>
      <w:r>
        <w:rPr>
          <w:sz w:val="19"/>
          <w:szCs w:val="19"/>
        </w:rPr>
        <w:t xml:space="preserve">Puede reanudar su horario de trabajo/actividades regular si se siente bien. </w:t>
      </w:r>
    </w:p>
    <w:p w14:paraId="45BB201B" w14:textId="25760BC1" w:rsidR="007E43F8" w:rsidRPr="007B3EB5" w:rsidRDefault="007E43F8" w:rsidP="000878EB">
      <w:pPr>
        <w:pStyle w:val="ListParagraph"/>
        <w:numPr>
          <w:ilvl w:val="0"/>
          <w:numId w:val="1"/>
        </w:numPr>
        <w:spacing w:after="0" w:line="230" w:lineRule="exact"/>
        <w:rPr>
          <w:sz w:val="19"/>
          <w:szCs w:val="19"/>
        </w:rPr>
      </w:pPr>
      <w:r>
        <w:rPr>
          <w:sz w:val="19"/>
          <w:szCs w:val="19"/>
        </w:rPr>
        <w:t xml:space="preserve">Trate de evitar los baños de inmersión, la actividad agotadora, el ejercicio (por </w:t>
      </w:r>
      <w:proofErr w:type="gramStart"/>
      <w:r>
        <w:rPr>
          <w:sz w:val="19"/>
          <w:szCs w:val="19"/>
        </w:rPr>
        <w:t>ejemplo</w:t>
      </w:r>
      <w:proofErr w:type="gramEnd"/>
      <w:r>
        <w:rPr>
          <w:sz w:val="19"/>
          <w:szCs w:val="19"/>
        </w:rPr>
        <w:t xml:space="preserve"> correr, tenis o aeróbicos) y el levantamiento de pesas en las siguientes 24 horas. </w:t>
      </w:r>
    </w:p>
    <w:p w14:paraId="73190814" w14:textId="5938FB40" w:rsidR="007E43F8" w:rsidRPr="007B3EB5" w:rsidRDefault="007E43F8" w:rsidP="000878EB">
      <w:pPr>
        <w:pStyle w:val="ListParagraph"/>
        <w:numPr>
          <w:ilvl w:val="0"/>
          <w:numId w:val="1"/>
        </w:numPr>
        <w:spacing w:after="0" w:line="230" w:lineRule="exact"/>
        <w:rPr>
          <w:sz w:val="19"/>
          <w:szCs w:val="19"/>
        </w:rPr>
      </w:pPr>
      <w:r>
        <w:rPr>
          <w:sz w:val="19"/>
          <w:szCs w:val="19"/>
        </w:rPr>
        <w:t xml:space="preserve">Algunos riesgos o efectos secundarios </w:t>
      </w:r>
      <w:proofErr w:type="gramStart"/>
      <w:r>
        <w:rPr>
          <w:sz w:val="19"/>
          <w:szCs w:val="19"/>
        </w:rPr>
        <w:t>posibles</w:t>
      </w:r>
      <w:proofErr w:type="gramEnd"/>
      <w:r>
        <w:rPr>
          <w:sz w:val="19"/>
          <w:szCs w:val="19"/>
        </w:rPr>
        <w:t xml:space="preserve"> pero poco comunes pueden incluir: hinchazón, hematomas, irritación de la piel/cambios de color, infección, reacción alérgica al medicamento, hemorragia, debilidad en las extremidades (brazos/piernas), enrojecimiento facial o ruptura de tendones. </w:t>
      </w:r>
    </w:p>
    <w:p w14:paraId="5B369D2F" w14:textId="5D3E2BF6" w:rsidR="007E43F8" w:rsidRPr="007B3EB5" w:rsidRDefault="007E43F8" w:rsidP="000878EB">
      <w:pPr>
        <w:pStyle w:val="ListParagraph"/>
        <w:numPr>
          <w:ilvl w:val="0"/>
          <w:numId w:val="1"/>
        </w:numPr>
        <w:spacing w:after="0" w:line="230" w:lineRule="exact"/>
        <w:rPr>
          <w:sz w:val="19"/>
          <w:szCs w:val="19"/>
        </w:rPr>
      </w:pPr>
      <w:r>
        <w:rPr>
          <w:sz w:val="19"/>
          <w:szCs w:val="19"/>
        </w:rPr>
        <w:t xml:space="preserve">Si tiene alguna inquietud, nota un incremento en dolor o sensibilidad, hinchazón excesiva, enrojecimiento o calor al tacto, comuníquese con su proveedor de atención primaria. </w:t>
      </w:r>
    </w:p>
    <w:p w14:paraId="55623166" w14:textId="6BE355F0" w:rsidR="0065091D" w:rsidRPr="007B3EB5" w:rsidRDefault="0065091D" w:rsidP="000878EB">
      <w:pPr>
        <w:pStyle w:val="ListParagraph"/>
        <w:numPr>
          <w:ilvl w:val="0"/>
          <w:numId w:val="1"/>
        </w:numPr>
        <w:spacing w:after="0" w:line="230" w:lineRule="exact"/>
        <w:rPr>
          <w:sz w:val="19"/>
          <w:szCs w:val="19"/>
        </w:rPr>
      </w:pPr>
      <w:r>
        <w:rPr>
          <w:sz w:val="19"/>
          <w:szCs w:val="19"/>
        </w:rPr>
        <w:t>Su prueba será evaluada y leída por un radiólogo en las siguientes 24 horas.</w:t>
      </w:r>
    </w:p>
    <w:p w14:paraId="55623167" w14:textId="77777777" w:rsidR="0065091D" w:rsidRPr="007B3EB5" w:rsidRDefault="0065091D" w:rsidP="000878EB">
      <w:pPr>
        <w:pStyle w:val="ListParagraph"/>
        <w:numPr>
          <w:ilvl w:val="0"/>
          <w:numId w:val="1"/>
        </w:numPr>
        <w:spacing w:after="0" w:line="230" w:lineRule="exact"/>
        <w:rPr>
          <w:sz w:val="19"/>
          <w:szCs w:val="19"/>
        </w:rPr>
      </w:pPr>
      <w:r>
        <w:rPr>
          <w:sz w:val="19"/>
          <w:szCs w:val="19"/>
        </w:rPr>
        <w:t>El reporte final firmado se enviará al proveedor que ordenó la prueba.</w:t>
      </w:r>
    </w:p>
    <w:p w14:paraId="3D438A98" w14:textId="2D1CE51D" w:rsidR="005F7AAE" w:rsidRPr="007B3EB5" w:rsidRDefault="005F7AAE" w:rsidP="000878EB">
      <w:pPr>
        <w:pStyle w:val="NoSpacing"/>
        <w:numPr>
          <w:ilvl w:val="0"/>
          <w:numId w:val="1"/>
        </w:numPr>
        <w:spacing w:line="230" w:lineRule="exact"/>
        <w:rPr>
          <w:sz w:val="19"/>
          <w:szCs w:val="19"/>
        </w:rPr>
      </w:pPr>
      <w:r>
        <w:rPr>
          <w:sz w:val="19"/>
          <w:szCs w:val="19"/>
        </w:rPr>
        <w:t>Comuníquese con su proveedor de atención médica si experimenta enrojecimiento o hinchazón en el sitio de la línea intravenosa.</w:t>
      </w:r>
    </w:p>
    <w:p w14:paraId="51218EAE" w14:textId="17D2BD30" w:rsidR="007B3EB5" w:rsidRDefault="0013691F" w:rsidP="000878EB">
      <w:pPr>
        <w:pStyle w:val="ListParagraph"/>
        <w:numPr>
          <w:ilvl w:val="0"/>
          <w:numId w:val="1"/>
        </w:numPr>
        <w:spacing w:after="0" w:line="230" w:lineRule="exact"/>
        <w:contextualSpacing w:val="0"/>
        <w:rPr>
          <w:sz w:val="19"/>
          <w:szCs w:val="19"/>
        </w:rPr>
      </w:pPr>
      <w:r>
        <w:rPr>
          <w:sz w:val="19"/>
          <w:szCs w:val="19"/>
        </w:rPr>
        <w:t>Los resultados de su prueba estarán disponibles en su portal del paciente inmediatamente después de que su proveedor los revise. Su proveedor le hablará sobre los resultados en su cita de seguimiento. Si usted no tiene una cita de seguimiento, su proveedor se comunicará con usted por medio de una carta o por teléfono dentro de los siguientes cinco a siete días hábiles.</w:t>
      </w:r>
    </w:p>
    <w:p w14:paraId="4BEE4D15" w14:textId="77777777" w:rsidR="007B3EB5" w:rsidRPr="007B3EB5" w:rsidRDefault="007B3EB5" w:rsidP="007B3EB5"/>
    <w:p w14:paraId="4DD8FAFE" w14:textId="77777777" w:rsidR="007B3EB5" w:rsidRPr="007B3EB5" w:rsidRDefault="007B3EB5" w:rsidP="007B3EB5"/>
    <w:p w14:paraId="616E33E1" w14:textId="77777777" w:rsidR="007B3EB5" w:rsidRPr="007B3EB5" w:rsidRDefault="007B3EB5" w:rsidP="007B3EB5"/>
    <w:p w14:paraId="4D1133D1" w14:textId="77777777" w:rsidR="007B3EB5" w:rsidRPr="007B3EB5" w:rsidRDefault="007B3EB5" w:rsidP="007B3EB5"/>
    <w:p w14:paraId="4AA31C2B" w14:textId="77777777" w:rsidR="007B3EB5" w:rsidRPr="007B3EB5" w:rsidRDefault="007B3EB5" w:rsidP="007B3EB5"/>
    <w:p w14:paraId="385BB767" w14:textId="77777777" w:rsidR="007B3EB5" w:rsidRPr="007B3EB5" w:rsidRDefault="007B3EB5" w:rsidP="007B3EB5"/>
    <w:p w14:paraId="23C18723" w14:textId="77777777" w:rsidR="007B3EB5" w:rsidRPr="007B3EB5" w:rsidRDefault="007B3EB5" w:rsidP="007B3EB5"/>
    <w:p w14:paraId="49E632A8" w14:textId="77777777" w:rsidR="007B3EB5" w:rsidRPr="007B3EB5" w:rsidRDefault="007B3EB5" w:rsidP="007B3EB5"/>
    <w:p w14:paraId="66C58770" w14:textId="77777777" w:rsidR="007B3EB5" w:rsidRPr="007B3EB5" w:rsidRDefault="007B3EB5" w:rsidP="007B3EB5"/>
    <w:p w14:paraId="0AB0860D" w14:textId="42E9AF7A" w:rsidR="007B3EB5" w:rsidRDefault="007B3EB5" w:rsidP="007B3EB5"/>
    <w:p w14:paraId="19FDA25B" w14:textId="77777777" w:rsidR="005F7AAE" w:rsidRPr="007B3EB5" w:rsidRDefault="005F7AAE" w:rsidP="007B3EB5"/>
    <w:sectPr w:rsidR="005F7AAE" w:rsidRPr="007B3EB5" w:rsidSect="004B3D57">
      <w:headerReference w:type="default"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E61E" w14:textId="77777777" w:rsidR="00552689" w:rsidRDefault="00552689">
      <w:pPr>
        <w:spacing w:after="0" w:line="240" w:lineRule="auto"/>
      </w:pPr>
      <w:r>
        <w:separator/>
      </w:r>
    </w:p>
  </w:endnote>
  <w:endnote w:type="continuationSeparator" w:id="0">
    <w:p w14:paraId="42D0CC4F" w14:textId="77777777" w:rsidR="00552689" w:rsidRDefault="00552689">
      <w:pPr>
        <w:spacing w:after="0" w:line="240" w:lineRule="auto"/>
      </w:pPr>
      <w:r>
        <w:continuationSeparator/>
      </w:r>
    </w:p>
  </w:endnote>
  <w:endnote w:type="continuationNotice" w:id="1">
    <w:p w14:paraId="701B80E7" w14:textId="77777777" w:rsidR="00552689" w:rsidRDefault="00552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30A2" w14:textId="5B41E367" w:rsidR="00601A36" w:rsidRPr="004B3D57" w:rsidRDefault="007B3EB5" w:rsidP="00601A36">
    <w:pPr>
      <w:pStyle w:val="Footer"/>
      <w:rPr>
        <w:rFonts w:ascii="Calibri" w:hAnsi="Calibri"/>
        <w:sz w:val="16"/>
        <w:szCs w:val="16"/>
      </w:rPr>
    </w:pPr>
    <w:r>
      <w:rPr>
        <w:rFonts w:ascii="Calibri" w:hAnsi="Calibri"/>
        <w:sz w:val="16"/>
        <w:szCs w:val="16"/>
      </w:rPr>
      <w:t>MC2242SP 6/18</w:t>
    </w:r>
  </w:p>
  <w:p w14:paraId="55623176" w14:textId="550DAD53" w:rsidR="00A85902" w:rsidRPr="00601A36" w:rsidRDefault="00A85902" w:rsidP="0060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D34" w14:textId="6E4FCC3A" w:rsidR="004B3D57" w:rsidRPr="004B3D57" w:rsidRDefault="007B3EB5">
    <w:pPr>
      <w:pStyle w:val="Footer"/>
      <w:rPr>
        <w:rFonts w:ascii="Calibri" w:hAnsi="Calibri"/>
        <w:sz w:val="16"/>
        <w:szCs w:val="16"/>
      </w:rPr>
    </w:pPr>
    <w:r>
      <w:rPr>
        <w:rFonts w:ascii="Calibri" w:hAnsi="Calibri"/>
        <w:sz w:val="16"/>
        <w:szCs w:val="16"/>
      </w:rPr>
      <w:t>MC2242SP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AAA3" w14:textId="77777777" w:rsidR="00552689" w:rsidRDefault="00552689">
      <w:pPr>
        <w:spacing w:after="0" w:line="240" w:lineRule="auto"/>
      </w:pPr>
      <w:r>
        <w:separator/>
      </w:r>
    </w:p>
  </w:footnote>
  <w:footnote w:type="continuationSeparator" w:id="0">
    <w:p w14:paraId="085870F1" w14:textId="77777777" w:rsidR="00552689" w:rsidRDefault="00552689">
      <w:pPr>
        <w:spacing w:after="0" w:line="240" w:lineRule="auto"/>
      </w:pPr>
      <w:r>
        <w:continuationSeparator/>
      </w:r>
    </w:p>
  </w:footnote>
  <w:footnote w:type="continuationNotice" w:id="1">
    <w:p w14:paraId="23AD72AE" w14:textId="77777777" w:rsidR="00552689" w:rsidRDefault="00552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3173" w14:textId="77777777" w:rsidR="00A85902" w:rsidRDefault="00A85902">
    <w:pPr>
      <w:pStyle w:val="Header"/>
    </w:pPr>
  </w:p>
  <w:p w14:paraId="55623174" w14:textId="77777777" w:rsidR="00A85902" w:rsidRDefault="00A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24"/>
    <w:multiLevelType w:val="hybridMultilevel"/>
    <w:tmpl w:val="CAFA58CA"/>
    <w:lvl w:ilvl="0" w:tplc="E6AAA796">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FD484B"/>
    <w:multiLevelType w:val="hybridMultilevel"/>
    <w:tmpl w:val="C7F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91B90"/>
    <w:multiLevelType w:val="hybridMultilevel"/>
    <w:tmpl w:val="1A98A9BC"/>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B232721"/>
    <w:multiLevelType w:val="hybridMultilevel"/>
    <w:tmpl w:val="8E1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02FD"/>
    <w:multiLevelType w:val="hybridMultilevel"/>
    <w:tmpl w:val="AF4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43D0"/>
    <w:multiLevelType w:val="hybridMultilevel"/>
    <w:tmpl w:val="BC2693C8"/>
    <w:lvl w:ilvl="0" w:tplc="CAA6EBFC">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E10D7"/>
    <w:multiLevelType w:val="hybridMultilevel"/>
    <w:tmpl w:val="6900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EC309B"/>
    <w:multiLevelType w:val="hybridMultilevel"/>
    <w:tmpl w:val="C40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76E"/>
    <w:multiLevelType w:val="hybridMultilevel"/>
    <w:tmpl w:val="FEF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733374">
    <w:abstractNumId w:val="6"/>
  </w:num>
  <w:num w:numId="2" w16cid:durableId="749734523">
    <w:abstractNumId w:val="0"/>
  </w:num>
  <w:num w:numId="3" w16cid:durableId="2085759433">
    <w:abstractNumId w:val="4"/>
  </w:num>
  <w:num w:numId="4" w16cid:durableId="1390566956">
    <w:abstractNumId w:val="3"/>
  </w:num>
  <w:num w:numId="5" w16cid:durableId="1241210835">
    <w:abstractNumId w:val="5"/>
  </w:num>
  <w:num w:numId="6" w16cid:durableId="381298027">
    <w:abstractNumId w:val="7"/>
  </w:num>
  <w:num w:numId="7" w16cid:durableId="2139109578">
    <w:abstractNumId w:val="8"/>
  </w:num>
  <w:num w:numId="8" w16cid:durableId="973101626">
    <w:abstractNumId w:val="1"/>
  </w:num>
  <w:num w:numId="9" w16cid:durableId="14623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61"/>
    <w:rsid w:val="000113E2"/>
    <w:rsid w:val="000266A6"/>
    <w:rsid w:val="00061F54"/>
    <w:rsid w:val="000878EB"/>
    <w:rsid w:val="000D1F2E"/>
    <w:rsid w:val="000E4268"/>
    <w:rsid w:val="0013691F"/>
    <w:rsid w:val="001A27A9"/>
    <w:rsid w:val="001B0913"/>
    <w:rsid w:val="00220F2F"/>
    <w:rsid w:val="00230679"/>
    <w:rsid w:val="00256E5E"/>
    <w:rsid w:val="002B51CE"/>
    <w:rsid w:val="003050F0"/>
    <w:rsid w:val="00310E0C"/>
    <w:rsid w:val="00325582"/>
    <w:rsid w:val="003502BD"/>
    <w:rsid w:val="00365261"/>
    <w:rsid w:val="00396D3D"/>
    <w:rsid w:val="00470546"/>
    <w:rsid w:val="004A5BB5"/>
    <w:rsid w:val="004A75E5"/>
    <w:rsid w:val="004B3D57"/>
    <w:rsid w:val="004D5CBA"/>
    <w:rsid w:val="004D6970"/>
    <w:rsid w:val="00507B5C"/>
    <w:rsid w:val="005379AD"/>
    <w:rsid w:val="00552389"/>
    <w:rsid w:val="00552689"/>
    <w:rsid w:val="00592C28"/>
    <w:rsid w:val="005F7AAE"/>
    <w:rsid w:val="00601A36"/>
    <w:rsid w:val="00610FB8"/>
    <w:rsid w:val="006435E2"/>
    <w:rsid w:val="0065091D"/>
    <w:rsid w:val="006C5B6A"/>
    <w:rsid w:val="00725697"/>
    <w:rsid w:val="00736039"/>
    <w:rsid w:val="00741B19"/>
    <w:rsid w:val="007A0103"/>
    <w:rsid w:val="007A23F7"/>
    <w:rsid w:val="007B3EB5"/>
    <w:rsid w:val="007D3551"/>
    <w:rsid w:val="007D6227"/>
    <w:rsid w:val="007E43F8"/>
    <w:rsid w:val="007F7E39"/>
    <w:rsid w:val="0080203E"/>
    <w:rsid w:val="00870B6C"/>
    <w:rsid w:val="008B42BE"/>
    <w:rsid w:val="008E5598"/>
    <w:rsid w:val="009421B9"/>
    <w:rsid w:val="009478CB"/>
    <w:rsid w:val="0098101C"/>
    <w:rsid w:val="0099449A"/>
    <w:rsid w:val="009B64E9"/>
    <w:rsid w:val="009E4BFD"/>
    <w:rsid w:val="009E7C31"/>
    <w:rsid w:val="00A12EB2"/>
    <w:rsid w:val="00A342C8"/>
    <w:rsid w:val="00A47E1C"/>
    <w:rsid w:val="00A515F6"/>
    <w:rsid w:val="00A85902"/>
    <w:rsid w:val="00A935C7"/>
    <w:rsid w:val="00AF6227"/>
    <w:rsid w:val="00B25661"/>
    <w:rsid w:val="00B71755"/>
    <w:rsid w:val="00B93012"/>
    <w:rsid w:val="00BD012F"/>
    <w:rsid w:val="00BE554A"/>
    <w:rsid w:val="00C21149"/>
    <w:rsid w:val="00C30175"/>
    <w:rsid w:val="00CA7073"/>
    <w:rsid w:val="00CE00B6"/>
    <w:rsid w:val="00D01787"/>
    <w:rsid w:val="00D70720"/>
    <w:rsid w:val="00DD4456"/>
    <w:rsid w:val="00E06273"/>
    <w:rsid w:val="00E4020E"/>
    <w:rsid w:val="00E47249"/>
    <w:rsid w:val="00E67D7A"/>
    <w:rsid w:val="00EB65B4"/>
    <w:rsid w:val="00F92A9A"/>
    <w:rsid w:val="00FB508A"/>
    <w:rsid w:val="00FD3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14B"/>
  <w15:docId w15:val="{3D62997D-0049-4312-A64D-010862CE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paragraph" w:styleId="NoSpacing">
    <w:name w:val="No Spacing"/>
    <w:uiPriority w:val="1"/>
    <w:qFormat/>
    <w:rsid w:val="00365261"/>
    <w:pPr>
      <w:spacing w:after="0" w:line="240" w:lineRule="auto"/>
    </w:pPr>
  </w:style>
  <w:style w:type="paragraph" w:styleId="ListParagraph">
    <w:name w:val="List Paragraph"/>
    <w:basedOn w:val="Normal"/>
    <w:uiPriority w:val="99"/>
    <w:qFormat/>
    <w:rsid w:val="00365261"/>
    <w:pPr>
      <w:spacing w:after="160" w:line="259" w:lineRule="auto"/>
      <w:ind w:left="720"/>
      <w:contextualSpacing/>
    </w:pPr>
  </w:style>
  <w:style w:type="paragraph" w:styleId="Header">
    <w:name w:val="header"/>
    <w:basedOn w:val="Normal"/>
    <w:link w:val="HeaderChar"/>
    <w:uiPriority w:val="99"/>
    <w:unhideWhenUsed/>
    <w:rsid w:val="0036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61"/>
  </w:style>
  <w:style w:type="character" w:styleId="PlaceholderText">
    <w:name w:val="Placeholder Text"/>
    <w:basedOn w:val="DefaultParagraphFont"/>
    <w:uiPriority w:val="99"/>
    <w:semiHidden/>
    <w:rsid w:val="00365261"/>
    <w:rPr>
      <w:color w:val="808080"/>
    </w:rPr>
  </w:style>
  <w:style w:type="paragraph" w:styleId="Title">
    <w:name w:val="Title"/>
    <w:basedOn w:val="Normal"/>
    <w:next w:val="Normal"/>
    <w:link w:val="TitleChar"/>
    <w:uiPriority w:val="10"/>
    <w:qFormat/>
    <w:rsid w:val="002B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1C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F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85A1C07024FE3BF928D3E71B9D141"/>
        <w:category>
          <w:name w:val="General"/>
          <w:gallery w:val="placeholder"/>
        </w:category>
        <w:types>
          <w:type w:val="bbPlcHdr"/>
        </w:types>
        <w:behaviors>
          <w:behavior w:val="content"/>
        </w:behaviors>
        <w:guid w:val="{221C7946-7D16-468F-81E7-248A8F268DDE}"/>
      </w:docPartPr>
      <w:docPartBody>
        <w:p w:rsidR="004875C7" w:rsidRDefault="00375D01" w:rsidP="00375D01">
          <w:pPr>
            <w:pStyle w:val="CB785A1C07024FE3BF928D3E71B9D141"/>
          </w:pPr>
          <w:r w:rsidRPr="00C14FD5">
            <w:rPr>
              <w:rStyle w:val="PlaceholderText"/>
            </w:rPr>
            <w:t>Click here to enter text.</w:t>
          </w:r>
        </w:p>
      </w:docPartBody>
    </w:docPart>
    <w:docPart>
      <w:docPartPr>
        <w:name w:val="8323E1A3BD854EDA899282B886438A56"/>
        <w:category>
          <w:name w:val="General"/>
          <w:gallery w:val="placeholder"/>
        </w:category>
        <w:types>
          <w:type w:val="bbPlcHdr"/>
        </w:types>
        <w:behaviors>
          <w:behavior w:val="content"/>
        </w:behaviors>
        <w:guid w:val="{E0DA87C4-788F-4EEA-B754-E974B5CDB4F0}"/>
      </w:docPartPr>
      <w:docPartBody>
        <w:p w:rsidR="00544F57" w:rsidRDefault="00D647A3" w:rsidP="00D647A3">
          <w:pPr>
            <w:pStyle w:val="8323E1A3BD854EDA899282B886438A56"/>
          </w:pPr>
          <w:r w:rsidRPr="00516922">
            <w:rPr>
              <w:rStyle w:val="PlaceholderText"/>
            </w:rPr>
            <w:t>Click here to enter text.</w:t>
          </w:r>
        </w:p>
      </w:docPartBody>
    </w:docPart>
    <w:docPart>
      <w:docPartPr>
        <w:name w:val="651903977BF74A1791E64F43716DBF0A"/>
        <w:category>
          <w:name w:val="General"/>
          <w:gallery w:val="placeholder"/>
        </w:category>
        <w:types>
          <w:type w:val="bbPlcHdr"/>
        </w:types>
        <w:behaviors>
          <w:behavior w:val="content"/>
        </w:behaviors>
        <w:guid w:val="{764676C2-9789-4933-A5F7-F265205AF3ED}"/>
      </w:docPartPr>
      <w:docPartBody>
        <w:p w:rsidR="00E85B36" w:rsidRDefault="000734E2" w:rsidP="000734E2">
          <w:pPr>
            <w:pStyle w:val="651903977BF74A1791E64F43716DBF0A"/>
          </w:pPr>
          <w:r w:rsidRPr="00C14FD5">
            <w:rPr>
              <w:rStyle w:val="PlaceholderText"/>
            </w:rPr>
            <w:t>Click here to enter text.</w:t>
          </w:r>
        </w:p>
      </w:docPartBody>
    </w:docPart>
    <w:docPart>
      <w:docPartPr>
        <w:name w:val="3DF3F009B2B642E9A9FCFA0A79EF8DF4"/>
        <w:category>
          <w:name w:val="General"/>
          <w:gallery w:val="placeholder"/>
        </w:category>
        <w:types>
          <w:type w:val="bbPlcHdr"/>
        </w:types>
        <w:behaviors>
          <w:behavior w:val="content"/>
        </w:behaviors>
        <w:guid w:val="{0943F731-877B-49BF-8D29-138A5633252D}"/>
      </w:docPartPr>
      <w:docPartBody>
        <w:p w:rsidR="00E85B36" w:rsidRDefault="000734E2" w:rsidP="000734E2">
          <w:pPr>
            <w:pStyle w:val="3DF3F009B2B642E9A9FCFA0A79EF8DF4"/>
          </w:pPr>
          <w:r w:rsidRPr="00C14FD5">
            <w:rPr>
              <w:rStyle w:val="PlaceholderText"/>
            </w:rPr>
            <w:t>Click here to enter text.</w:t>
          </w:r>
        </w:p>
      </w:docPartBody>
    </w:docPart>
    <w:docPart>
      <w:docPartPr>
        <w:name w:val="503AE991C44341E2BC6A5932AA0F403F"/>
        <w:category>
          <w:name w:val="General"/>
          <w:gallery w:val="placeholder"/>
        </w:category>
        <w:types>
          <w:type w:val="bbPlcHdr"/>
        </w:types>
        <w:behaviors>
          <w:behavior w:val="content"/>
        </w:behaviors>
        <w:guid w:val="{E3B3BCF1-C724-41C7-829D-0C8C49683E21}"/>
      </w:docPartPr>
      <w:docPartBody>
        <w:p w:rsidR="00E85B36" w:rsidRDefault="000734E2" w:rsidP="000734E2">
          <w:pPr>
            <w:pStyle w:val="503AE991C44341E2BC6A5932AA0F403F"/>
          </w:pPr>
          <w:r w:rsidRPr="00C14F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01"/>
    <w:rsid w:val="000734E2"/>
    <w:rsid w:val="001401B7"/>
    <w:rsid w:val="00287025"/>
    <w:rsid w:val="002C5DDD"/>
    <w:rsid w:val="00327104"/>
    <w:rsid w:val="00340CCB"/>
    <w:rsid w:val="00375D01"/>
    <w:rsid w:val="004875C7"/>
    <w:rsid w:val="00544F57"/>
    <w:rsid w:val="005C16BB"/>
    <w:rsid w:val="0072772B"/>
    <w:rsid w:val="00957114"/>
    <w:rsid w:val="009A1976"/>
    <w:rsid w:val="00BF5908"/>
    <w:rsid w:val="00CA6441"/>
    <w:rsid w:val="00CC192E"/>
    <w:rsid w:val="00D647A3"/>
    <w:rsid w:val="00DE10F0"/>
    <w:rsid w:val="00E85B36"/>
    <w:rsid w:val="00F455B6"/>
    <w:rsid w:val="00FF2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E2"/>
    <w:rPr>
      <w:color w:val="808080"/>
    </w:rPr>
  </w:style>
  <w:style w:type="paragraph" w:customStyle="1" w:styleId="CB785A1C07024FE3BF928D3E71B9D141">
    <w:name w:val="CB785A1C07024FE3BF928D3E71B9D141"/>
    <w:rsid w:val="00375D01"/>
  </w:style>
  <w:style w:type="paragraph" w:customStyle="1" w:styleId="8323E1A3BD854EDA899282B886438A56">
    <w:name w:val="8323E1A3BD854EDA899282B886438A56"/>
    <w:rsid w:val="00D647A3"/>
    <w:pPr>
      <w:spacing w:after="160" w:line="259" w:lineRule="auto"/>
    </w:pPr>
  </w:style>
  <w:style w:type="paragraph" w:customStyle="1" w:styleId="651903977BF74A1791E64F43716DBF0A">
    <w:name w:val="651903977BF74A1791E64F43716DBF0A"/>
    <w:rsid w:val="000734E2"/>
  </w:style>
  <w:style w:type="paragraph" w:customStyle="1" w:styleId="3DF3F009B2B642E9A9FCFA0A79EF8DF4">
    <w:name w:val="3DF3F009B2B642E9A9FCFA0A79EF8DF4"/>
    <w:rsid w:val="000734E2"/>
  </w:style>
  <w:style w:type="paragraph" w:customStyle="1" w:styleId="503AE991C44341E2BC6A5932AA0F403F">
    <w:name w:val="503AE991C44341E2BC6A5932AA0F403F"/>
    <w:rsid w:val="0007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9B4DE5DF0442923E1B2603CF3468" ma:contentTypeVersion="0" ma:contentTypeDescription="Create a new document." ma:contentTypeScope="" ma:versionID="726e0825a316688f58bb3033f34bd7f6">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EJ6DF6RAZCPK-760-2</_dlc_DocId>
    <_dlc_DocIdUrl xmlns="58e80d0c-f22b-43e9-8e88-fabb9b5ccfc5">
      <Url>http://sharepoint12/MankatoClinic/Clinical/PatientED/DI/MRI/_layouts/15/DocIdRedir.aspx?ID=EJ6DF6RAZCPK-760-2</Url>
      <Description>EJ6DF6RAZCPK-760-2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E6A96B-6077-4332-8E12-A2ECAC0D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51639-6E70-46DA-90F4-0D211A0CABA9}">
  <ds:schemaRefs>
    <ds:schemaRef ds:uri="http://schemas.microsoft.com/sharepoint/v3/contenttype/forms"/>
  </ds:schemaRefs>
</ds:datastoreItem>
</file>

<file path=customXml/itemProps3.xml><?xml version="1.0" encoding="utf-8"?>
<ds:datastoreItem xmlns:ds="http://schemas.openxmlformats.org/officeDocument/2006/customXml" ds:itemID="{37B6C235-9537-4946-A493-1C0086549F35}">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8e80d0c-f22b-43e9-8e88-fabb9b5ccfc5"/>
    <ds:schemaRef ds:uri="http://www.w3.org/XML/1998/namespace"/>
    <ds:schemaRef ds:uri="http://purl.org/dc/elements/1.1/"/>
  </ds:schemaRefs>
</ds:datastoreItem>
</file>

<file path=customXml/itemProps4.xml><?xml version="1.0" encoding="utf-8"?>
<ds:datastoreItem xmlns:ds="http://schemas.openxmlformats.org/officeDocument/2006/customXml" ds:itemID="{513321D3-CEA2-4B91-85E1-7CF3FE76CE8F}">
  <ds:schemaRefs>
    <ds:schemaRef ds:uri="http://schemas.openxmlformats.org/officeDocument/2006/bibliography"/>
  </ds:schemaRefs>
</ds:datastoreItem>
</file>

<file path=customXml/itemProps5.xml><?xml version="1.0" encoding="utf-8"?>
<ds:datastoreItem xmlns:ds="http://schemas.openxmlformats.org/officeDocument/2006/customXml" ds:itemID="{63ED0847-2FDD-490E-BCB9-7A7C3FFF9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Vangsness Anna</dc:creator>
  <cp:lastModifiedBy>Ceceli P</cp:lastModifiedBy>
  <cp:revision>2</cp:revision>
  <dcterms:created xsi:type="dcterms:W3CDTF">2022-12-29T16:01:00Z</dcterms:created>
  <dcterms:modified xsi:type="dcterms:W3CDTF">2022-12-29T16:01:00Z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0x010100A6C79B4DE5DF0442923E1B2603CF3468</vt:lpwstr>
  </property>
  <property fmtid="{D5CDD505-2E9C-101B-9397-08002B2CF9AE}" pid="3" name="_dlc_DocIdItemGuid">
    <vt:lpwstr>1d8da7cb-bdce-42f6-9eef-3f4e37f51160</vt:lpwstr>
  </property>
</Properties>
</file>